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72A3" w14:textId="7F257F22" w:rsidR="00812E22" w:rsidRDefault="00DF6117"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02F37" wp14:editId="0E3F1F14">
                <wp:simplePos x="0" y="0"/>
                <wp:positionH relativeFrom="margin">
                  <wp:posOffset>943610</wp:posOffset>
                </wp:positionH>
                <wp:positionV relativeFrom="page">
                  <wp:posOffset>526151</wp:posOffset>
                </wp:positionV>
                <wp:extent cx="5149970" cy="367665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97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1539" w14:textId="77777777" w:rsidR="00812E22" w:rsidRPr="00DF6117" w:rsidRDefault="00812E22" w:rsidP="00812E22">
                            <w:pPr>
                              <w:rPr>
                                <w:rFonts w:ascii="Muli" w:hAnsi="Muli"/>
                              </w:rPr>
                            </w:pPr>
                            <w:r w:rsidRPr="00DF6117">
                              <w:rPr>
                                <w:rFonts w:ascii="Muli" w:hAnsi="Muli"/>
                              </w:rPr>
                              <w:t>Secretaría Ejecutiva del Sistema Estatal Anticorrupción de Guanajuato</w:t>
                            </w:r>
                          </w:p>
                          <w:p w14:paraId="28CB2145" w14:textId="77777777" w:rsidR="00812E22" w:rsidRDefault="00812E22" w:rsidP="00812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2F3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margin-left:74.3pt;margin-top:41.45pt;width:405.5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" stroked="f">
                <v:textbox>
                  <w:txbxContent>
                    <w:p w14:paraId="6BD01539" w14:textId="77777777" w:rsidR="00812E22" w:rsidRPr="00DF6117" w:rsidRDefault="00812E22" w:rsidP="00812E22">
                      <w:pPr>
                        <w:rPr>
                          <w:rFonts w:ascii="Muli" w:hAnsi="Muli"/>
                        </w:rPr>
                      </w:pPr>
                      <w:r w:rsidRPr="00DF6117">
                        <w:rPr>
                          <w:rFonts w:ascii="Muli" w:hAnsi="Muli"/>
                        </w:rPr>
                        <w:t>Secretaría Ejecutiva del Sistema Estatal Anticorrupción de Guanajuato</w:t>
                      </w:r>
                    </w:p>
                    <w:p w14:paraId="28CB2145" w14:textId="77777777" w:rsidR="00812E22" w:rsidRDefault="00812E22" w:rsidP="00812E2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Muli" w:hAnsi="Muli"/>
          <w:noProof/>
          <w:sz w:val="20"/>
          <w:szCs w:val="20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E214F" wp14:editId="5C8B407F">
                <wp:simplePos x="0" y="0"/>
                <wp:positionH relativeFrom="column">
                  <wp:posOffset>1001024</wp:posOffset>
                </wp:positionH>
                <wp:positionV relativeFrom="page">
                  <wp:posOffset>385445</wp:posOffset>
                </wp:positionV>
                <wp:extent cx="0" cy="587375"/>
                <wp:effectExtent l="0" t="0" r="38100" b="22225"/>
                <wp:wrapNone/>
                <wp:docPr id="41887001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73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BEEA7" id="Conector recto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8.8pt,30.35pt" to="78.8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" strokecolor="black [3213]" strokeweight="1pt">
                <v:stroke joinstyle="miter"/>
                <w10:wrap anchory="page"/>
              </v:line>
            </w:pict>
          </mc:Fallback>
        </mc:AlternateContent>
      </w:r>
    </w:p>
    <w:p w14:paraId="39CEE745" w14:textId="77777777" w:rsidR="00812E22" w:rsidRDefault="00812E22"/>
    <w:p w14:paraId="5BBE030D" w14:textId="77777777" w:rsidR="00812E22" w:rsidRPr="00812E22" w:rsidRDefault="00812E22" w:rsidP="00812E22">
      <w:pPr>
        <w:jc w:val="center"/>
        <w:rPr>
          <w:rFonts w:ascii="Muli" w:hAnsi="Muli"/>
          <w:b/>
          <w:bCs/>
        </w:rPr>
      </w:pPr>
      <w:bookmarkStart w:id="0" w:name="_Hlk137026782"/>
      <w:r w:rsidRPr="00812E22">
        <w:rPr>
          <w:rFonts w:ascii="Muli" w:hAnsi="Muli"/>
          <w:b/>
          <w:bCs/>
        </w:rPr>
        <w:t>Formato 4</w:t>
      </w:r>
    </w:p>
    <w:p w14:paraId="2387E4D6" w14:textId="77777777" w:rsidR="00812E22" w:rsidRPr="00812E22" w:rsidRDefault="00812E22" w:rsidP="00812E22">
      <w:pPr>
        <w:jc w:val="center"/>
        <w:rPr>
          <w:rFonts w:ascii="Muli" w:hAnsi="Muli"/>
          <w:b/>
          <w:bCs/>
        </w:rPr>
      </w:pPr>
      <w:r w:rsidRPr="00812E22">
        <w:rPr>
          <w:rFonts w:ascii="Muli" w:hAnsi="Muli"/>
          <w:b/>
          <w:bCs/>
        </w:rPr>
        <w:t>Aceptación de la Recomendación No Vinculante</w:t>
      </w:r>
    </w:p>
    <w:p w14:paraId="2F62BACA" w14:textId="47120D86" w:rsidR="00812E22" w:rsidRPr="00812E22" w:rsidRDefault="00812E22" w:rsidP="00812E22">
      <w:pPr>
        <w:jc w:val="center"/>
        <w:rPr>
          <w:rFonts w:ascii="Muli" w:hAnsi="Muli"/>
          <w:b/>
          <w:bCs/>
        </w:rPr>
      </w:pPr>
      <w:r w:rsidRPr="00812E22">
        <w:rPr>
          <w:rFonts w:ascii="Muli" w:hAnsi="Muli"/>
          <w:b/>
          <w:bCs/>
        </w:rPr>
        <w:t>y Calendario de Acciones Concretas</w:t>
      </w:r>
    </w:p>
    <w:p w14:paraId="79A49113" w14:textId="77777777" w:rsidR="00812E22" w:rsidRPr="00F53129" w:rsidRDefault="00812E22" w:rsidP="00812E22">
      <w:pPr>
        <w:spacing w:after="20" w:line="259" w:lineRule="auto"/>
        <w:ind w:left="-142"/>
        <w:rPr>
          <w:rFonts w:ascii="Muli" w:hAnsi="Muli"/>
          <w:sz w:val="16"/>
          <w:szCs w:val="16"/>
        </w:rPr>
      </w:pPr>
    </w:p>
    <w:p w14:paraId="395E80DC" w14:textId="77777777" w:rsidR="00812E22" w:rsidRPr="00F53129" w:rsidRDefault="00812E22" w:rsidP="00812E22">
      <w:pPr>
        <w:ind w:left="-142" w:right="-143"/>
        <w:jc w:val="both"/>
        <w:rPr>
          <w:rFonts w:ascii="Muli" w:hAnsi="Muli"/>
          <w:sz w:val="20"/>
          <w:szCs w:val="20"/>
        </w:rPr>
      </w:pPr>
      <w:r w:rsidRPr="00F53129">
        <w:rPr>
          <w:rFonts w:ascii="Muli" w:hAnsi="Muli"/>
          <w:b/>
          <w:sz w:val="20"/>
          <w:szCs w:val="20"/>
        </w:rPr>
        <w:t xml:space="preserve">Objetivo: </w:t>
      </w:r>
      <w:r w:rsidRPr="00F53129">
        <w:rPr>
          <w:rFonts w:ascii="Muli" w:hAnsi="Muli"/>
          <w:sz w:val="20"/>
          <w:szCs w:val="20"/>
        </w:rPr>
        <w:t xml:space="preserve">Registrar la aceptación de la </w:t>
      </w:r>
      <w:r>
        <w:rPr>
          <w:rFonts w:ascii="Muli" w:hAnsi="Muli"/>
          <w:sz w:val="20"/>
          <w:szCs w:val="20"/>
        </w:rPr>
        <w:t>r</w:t>
      </w:r>
      <w:r w:rsidRPr="00F53129">
        <w:rPr>
          <w:rFonts w:ascii="Muli" w:hAnsi="Muli"/>
          <w:sz w:val="20"/>
          <w:szCs w:val="20"/>
        </w:rPr>
        <w:t xml:space="preserve">ecomendación </w:t>
      </w:r>
      <w:r>
        <w:rPr>
          <w:rFonts w:ascii="Muli" w:hAnsi="Muli"/>
          <w:sz w:val="20"/>
          <w:szCs w:val="20"/>
        </w:rPr>
        <w:t>n</w:t>
      </w:r>
      <w:r w:rsidRPr="00F53129">
        <w:rPr>
          <w:rFonts w:ascii="Muli" w:hAnsi="Muli"/>
          <w:sz w:val="20"/>
          <w:szCs w:val="20"/>
        </w:rPr>
        <w:t xml:space="preserve">o </w:t>
      </w:r>
      <w:r>
        <w:rPr>
          <w:rFonts w:ascii="Muli" w:hAnsi="Muli"/>
          <w:sz w:val="20"/>
          <w:szCs w:val="20"/>
        </w:rPr>
        <w:t>v</w:t>
      </w:r>
      <w:r w:rsidRPr="00F53129">
        <w:rPr>
          <w:rFonts w:ascii="Muli" w:hAnsi="Muli"/>
          <w:sz w:val="20"/>
          <w:szCs w:val="20"/>
        </w:rPr>
        <w:t xml:space="preserve">inculante y establecer el calendario de acciones concretas para su seguimiento. </w:t>
      </w:r>
    </w:p>
    <w:p w14:paraId="7982549B" w14:textId="77777777" w:rsidR="00812E22" w:rsidRPr="00F53129" w:rsidRDefault="00812E22" w:rsidP="00812E22">
      <w:pPr>
        <w:spacing w:line="259" w:lineRule="auto"/>
        <w:ind w:left="721"/>
        <w:rPr>
          <w:rFonts w:ascii="Muli" w:hAnsi="Muli"/>
          <w:sz w:val="20"/>
          <w:szCs w:val="20"/>
        </w:rPr>
      </w:pPr>
      <w:r w:rsidRPr="00F53129">
        <w:rPr>
          <w:rFonts w:ascii="Muli" w:hAnsi="Muli"/>
          <w:b/>
          <w:sz w:val="20"/>
          <w:szCs w:val="20"/>
        </w:rPr>
        <w:t xml:space="preserve"> </w:t>
      </w:r>
    </w:p>
    <w:tbl>
      <w:tblPr>
        <w:tblStyle w:val="TableGrid"/>
        <w:tblW w:w="9782" w:type="dxa"/>
        <w:tblInd w:w="-431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142"/>
        <w:gridCol w:w="1820"/>
        <w:gridCol w:w="3283"/>
      </w:tblGrid>
      <w:tr w:rsidR="00812E22" w:rsidRPr="00F53129" w14:paraId="0AA6141E" w14:textId="77777777" w:rsidTr="00812E22">
        <w:trPr>
          <w:trHeight w:val="31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B29A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Fecha de registro:</w:t>
            </w: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6DD4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Clave de </w:t>
            </w:r>
            <w:r>
              <w:rPr>
                <w:rFonts w:ascii="Muli" w:hAnsi="Muli"/>
                <w:b/>
                <w:sz w:val="20"/>
                <w:szCs w:val="20"/>
              </w:rPr>
              <w:t xml:space="preserve">la 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Recomendación: </w:t>
            </w:r>
          </w:p>
        </w:tc>
      </w:tr>
      <w:tr w:rsidR="00812E22" w:rsidRPr="00F53129" w14:paraId="63C4C8FA" w14:textId="77777777" w:rsidTr="00812E22">
        <w:trPr>
          <w:trHeight w:val="320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7BEC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Ente Público: </w:t>
            </w:r>
          </w:p>
        </w:tc>
      </w:tr>
      <w:tr w:rsidR="00812E22" w:rsidRPr="00F53129" w14:paraId="49AFBA7B" w14:textId="77777777" w:rsidTr="00812E22">
        <w:trPr>
          <w:trHeight w:val="320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FA29" w14:textId="77777777" w:rsidR="00812E22" w:rsidRPr="00F53129" w:rsidRDefault="00812E22" w:rsidP="00735C13">
            <w:pPr>
              <w:spacing w:line="259" w:lineRule="auto"/>
              <w:ind w:left="7"/>
              <w:jc w:val="center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Plan de trabajo </w:t>
            </w:r>
          </w:p>
        </w:tc>
      </w:tr>
      <w:tr w:rsidR="00812E22" w:rsidRPr="00F53129" w14:paraId="768D62F4" w14:textId="77777777" w:rsidTr="00812E22">
        <w:trPr>
          <w:trHeight w:val="62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D460" w14:textId="77777777" w:rsidR="00812E22" w:rsidRPr="00F53129" w:rsidRDefault="00812E22" w:rsidP="00735C13">
            <w:pPr>
              <w:spacing w:after="21" w:line="259" w:lineRule="auto"/>
              <w:ind w:left="3"/>
              <w:rPr>
                <w:rFonts w:ascii="Muli" w:hAnsi="Muli"/>
                <w:b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Nombres y cargos de las personas responsables de atender la Recomendación No Vinculant</w:t>
            </w:r>
            <w:r>
              <w:rPr>
                <w:rFonts w:ascii="Muli" w:hAnsi="Muli"/>
                <w:b/>
                <w:sz w:val="20"/>
                <w:szCs w:val="20"/>
              </w:rPr>
              <w:t>e</w:t>
            </w:r>
          </w:p>
        </w:tc>
      </w:tr>
      <w:tr w:rsidR="00812E22" w:rsidRPr="00F53129" w14:paraId="6ABF7FAA" w14:textId="77777777" w:rsidTr="00812E22">
        <w:trPr>
          <w:trHeight w:val="320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230D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</w:tr>
      <w:tr w:rsidR="00812E22" w:rsidRPr="00F53129" w14:paraId="1C76A6A0" w14:textId="77777777" w:rsidTr="00812E22">
        <w:trPr>
          <w:trHeight w:val="320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83B5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</w:tr>
      <w:tr w:rsidR="00812E22" w:rsidRPr="00F53129" w14:paraId="35F1E813" w14:textId="77777777" w:rsidTr="00812E22">
        <w:trPr>
          <w:trHeight w:val="320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02DF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3 </w:t>
            </w:r>
          </w:p>
        </w:tc>
      </w:tr>
      <w:tr w:rsidR="00812E22" w:rsidRPr="00F53129" w14:paraId="4D04D947" w14:textId="77777777" w:rsidTr="00812E22">
        <w:trPr>
          <w:trHeight w:val="320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EA2F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4. </w:t>
            </w:r>
          </w:p>
        </w:tc>
      </w:tr>
      <w:tr w:rsidR="00812E22" w:rsidRPr="00F53129" w14:paraId="1E498945" w14:textId="77777777" w:rsidTr="00812E22">
        <w:trPr>
          <w:trHeight w:val="320"/>
        </w:trPr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4837" w14:textId="77777777" w:rsidR="00812E22" w:rsidRPr="00F53129" w:rsidRDefault="00812E22" w:rsidP="00735C13">
            <w:pPr>
              <w:spacing w:line="259" w:lineRule="auto"/>
              <w:ind w:left="5"/>
              <w:jc w:val="center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Acciones a implementar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547F" w14:textId="77777777" w:rsidR="00812E22" w:rsidRPr="00F53129" w:rsidRDefault="00812E22" w:rsidP="00735C13">
            <w:pPr>
              <w:spacing w:line="259" w:lineRule="auto"/>
              <w:ind w:right="5"/>
              <w:jc w:val="center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Periodo de ejecución </w:t>
            </w:r>
          </w:p>
        </w:tc>
      </w:tr>
      <w:tr w:rsidR="00812E22" w:rsidRPr="00F53129" w14:paraId="1BBD18FD" w14:textId="77777777" w:rsidTr="00812E22">
        <w:trPr>
          <w:trHeight w:val="320"/>
        </w:trPr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DC95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02AB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812E22" w:rsidRPr="00F53129" w14:paraId="69E8A668" w14:textId="77777777" w:rsidTr="00812E22">
        <w:trPr>
          <w:trHeight w:val="320"/>
        </w:trPr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6499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0E62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812E22" w:rsidRPr="00F53129" w14:paraId="0D24C3AB" w14:textId="77777777" w:rsidTr="00812E22">
        <w:trPr>
          <w:trHeight w:val="315"/>
        </w:trPr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D7B3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3.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A16D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812E22" w:rsidRPr="00F53129" w14:paraId="0B9BA28A" w14:textId="77777777" w:rsidTr="00812E22">
        <w:trPr>
          <w:trHeight w:val="320"/>
        </w:trPr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2E58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4.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BACA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812E22" w:rsidRPr="00F53129" w14:paraId="6A39D20B" w14:textId="77777777" w:rsidTr="00812E22">
        <w:trPr>
          <w:trHeight w:val="320"/>
        </w:trPr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42B9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5.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B50F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812E22" w:rsidRPr="00F53129" w14:paraId="605E1300" w14:textId="77777777" w:rsidTr="00812E22">
        <w:trPr>
          <w:trHeight w:val="1158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E8C8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Vo. Bo. del titular del Ente Público: </w:t>
            </w:r>
          </w:p>
        </w:tc>
      </w:tr>
      <w:tr w:rsidR="00812E22" w:rsidRPr="00F53129" w14:paraId="3D94A3CE" w14:textId="77777777" w:rsidTr="00812E22">
        <w:trPr>
          <w:trHeight w:val="315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D8BF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Entregó: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C086" w14:textId="77777777" w:rsidR="00812E22" w:rsidRPr="00F53129" w:rsidRDefault="00812E22" w:rsidP="00735C13">
            <w:pPr>
              <w:spacing w:line="259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Recibió: </w:t>
            </w:r>
            <w:r>
              <w:rPr>
                <w:rFonts w:ascii="Muli" w:hAnsi="Muli"/>
                <w:bCs/>
                <w:sz w:val="20"/>
                <w:szCs w:val="20"/>
              </w:rPr>
              <w:t>Dr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>.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>Erik G</w:t>
            </w:r>
            <w:r>
              <w:rPr>
                <w:rFonts w:ascii="Muli" w:hAnsi="Muli"/>
                <w:bCs/>
                <w:sz w:val="20"/>
                <w:szCs w:val="20"/>
              </w:rPr>
              <w:t>erardo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 xml:space="preserve"> Ramírez Serafín, Secretario Técnico de la Secretaría Ejecutiva del Sistema Estatal Anticorrupción de Guanajuato.</w:t>
            </w:r>
          </w:p>
        </w:tc>
      </w:tr>
      <w:tr w:rsidR="00812E22" w:rsidRPr="00F53129" w14:paraId="6E6ABF33" w14:textId="77777777" w:rsidTr="00812E22">
        <w:trPr>
          <w:trHeight w:val="596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E87C" w14:textId="77777777" w:rsidR="00812E22" w:rsidRPr="00F53129" w:rsidRDefault="00812E22" w:rsidP="00735C13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E509D">
              <w:rPr>
                <w:rFonts w:ascii="Muli" w:hAnsi="Muli"/>
                <w:b/>
                <w:sz w:val="20"/>
                <w:szCs w:val="20"/>
              </w:rPr>
              <w:t>Firma:</w:t>
            </w:r>
            <w:r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9DF0" w14:textId="77777777" w:rsidR="00812E22" w:rsidRPr="00F53129" w:rsidRDefault="00812E22" w:rsidP="00735C13">
            <w:pPr>
              <w:spacing w:after="160" w:line="259" w:lineRule="auto"/>
              <w:rPr>
                <w:rFonts w:ascii="Muli" w:hAnsi="Muli"/>
                <w:sz w:val="20"/>
                <w:szCs w:val="20"/>
              </w:rPr>
            </w:pPr>
            <w:r w:rsidRPr="00BE509D"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</w:tr>
    </w:tbl>
    <w:bookmarkEnd w:id="0"/>
    <w:p w14:paraId="2055790B" w14:textId="2580A8D1" w:rsidR="0042713C" w:rsidRDefault="00812E22">
      <w:r w:rsidRPr="0023675B">
        <w:rPr>
          <w:rFonts w:ascii="Muli" w:hAnsi="Muli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79F9E8E3" wp14:editId="27C2725F">
            <wp:simplePos x="0" y="0"/>
            <wp:positionH relativeFrom="column">
              <wp:posOffset>-676374</wp:posOffset>
            </wp:positionH>
            <wp:positionV relativeFrom="page">
              <wp:posOffset>314696</wp:posOffset>
            </wp:positionV>
            <wp:extent cx="1732915" cy="779780"/>
            <wp:effectExtent l="0" t="0" r="0" b="0"/>
            <wp:wrapNone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2713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0FC8" w14:textId="77777777" w:rsidR="005B1DFA" w:rsidRDefault="005B1DFA" w:rsidP="00812E22">
      <w:r>
        <w:separator/>
      </w:r>
    </w:p>
  </w:endnote>
  <w:endnote w:type="continuationSeparator" w:id="0">
    <w:p w14:paraId="4C15E8ED" w14:textId="77777777" w:rsidR="005B1DFA" w:rsidRDefault="005B1DFA" w:rsidP="0081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84DA" w14:textId="77777777" w:rsidR="00812E22" w:rsidRPr="00812E22" w:rsidRDefault="00812E22" w:rsidP="00812E22">
    <w:pPr>
      <w:pStyle w:val="Piedepgina"/>
      <w:jc w:val="right"/>
      <w:rPr>
        <w:rFonts w:ascii="Muli" w:hAnsi="Muli"/>
      </w:rPr>
    </w:pPr>
    <w:r w:rsidRPr="00812E22">
      <w:rPr>
        <w:rFonts w:ascii="Muli" w:hAnsi="Muli"/>
        <w:lang w:val="es-ES"/>
      </w:rPr>
      <w:t xml:space="preserve">Página </w:t>
    </w:r>
    <w:r w:rsidRPr="00812E22">
      <w:rPr>
        <w:rFonts w:ascii="Muli" w:hAnsi="Muli"/>
        <w:b/>
        <w:bCs/>
      </w:rPr>
      <w:fldChar w:fldCharType="begin"/>
    </w:r>
    <w:r w:rsidRPr="00812E22">
      <w:rPr>
        <w:rFonts w:ascii="Muli" w:hAnsi="Muli"/>
        <w:b/>
        <w:bCs/>
      </w:rPr>
      <w:instrText>PAGE  \* Arabic  \* MERGEFORMAT</w:instrText>
    </w:r>
    <w:r w:rsidRPr="00812E22">
      <w:rPr>
        <w:rFonts w:ascii="Muli" w:hAnsi="Muli"/>
        <w:b/>
        <w:bCs/>
      </w:rPr>
      <w:fldChar w:fldCharType="separate"/>
    </w:r>
    <w:r w:rsidRPr="00812E22">
      <w:rPr>
        <w:rFonts w:ascii="Muli" w:hAnsi="Muli"/>
        <w:b/>
        <w:bCs/>
        <w:lang w:val="es-ES"/>
      </w:rPr>
      <w:t>2</w:t>
    </w:r>
    <w:r w:rsidRPr="00812E22">
      <w:rPr>
        <w:rFonts w:ascii="Muli" w:hAnsi="Muli"/>
        <w:b/>
        <w:bCs/>
      </w:rPr>
      <w:fldChar w:fldCharType="end"/>
    </w:r>
    <w:r w:rsidRPr="00812E22">
      <w:rPr>
        <w:rFonts w:ascii="Muli" w:hAnsi="Muli"/>
        <w:lang w:val="es-ES"/>
      </w:rPr>
      <w:t xml:space="preserve"> de </w:t>
    </w:r>
    <w:r w:rsidRPr="00812E22">
      <w:rPr>
        <w:rFonts w:ascii="Muli" w:hAnsi="Muli"/>
        <w:b/>
        <w:bCs/>
      </w:rPr>
      <w:fldChar w:fldCharType="begin"/>
    </w:r>
    <w:r w:rsidRPr="00812E22">
      <w:rPr>
        <w:rFonts w:ascii="Muli" w:hAnsi="Muli"/>
        <w:b/>
        <w:bCs/>
      </w:rPr>
      <w:instrText>NUMPAGES  \* Arabic  \* MERGEFORMAT</w:instrText>
    </w:r>
    <w:r w:rsidRPr="00812E22">
      <w:rPr>
        <w:rFonts w:ascii="Muli" w:hAnsi="Muli"/>
        <w:b/>
        <w:bCs/>
      </w:rPr>
      <w:fldChar w:fldCharType="separate"/>
    </w:r>
    <w:r w:rsidRPr="00812E22">
      <w:rPr>
        <w:rFonts w:ascii="Muli" w:hAnsi="Muli"/>
        <w:b/>
        <w:bCs/>
        <w:lang w:val="es-ES"/>
      </w:rPr>
      <w:t>2</w:t>
    </w:r>
    <w:r w:rsidRPr="00812E22">
      <w:rPr>
        <w:rFonts w:ascii="Muli" w:hAnsi="Muli"/>
        <w:b/>
        <w:bCs/>
      </w:rPr>
      <w:fldChar w:fldCharType="end"/>
    </w:r>
  </w:p>
  <w:p w14:paraId="1F2D31C6" w14:textId="77777777" w:rsidR="00812E22" w:rsidRDefault="00812E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9ABB" w14:textId="77777777" w:rsidR="005B1DFA" w:rsidRDefault="005B1DFA" w:rsidP="00812E22">
      <w:r>
        <w:separator/>
      </w:r>
    </w:p>
  </w:footnote>
  <w:footnote w:type="continuationSeparator" w:id="0">
    <w:p w14:paraId="145C37CC" w14:textId="77777777" w:rsidR="005B1DFA" w:rsidRDefault="005B1DFA" w:rsidP="0081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22"/>
    <w:rsid w:val="0042713C"/>
    <w:rsid w:val="005B1DFA"/>
    <w:rsid w:val="00601C8E"/>
    <w:rsid w:val="00812E22"/>
    <w:rsid w:val="00D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6EEE"/>
  <w15:chartTrackingRefBased/>
  <w15:docId w15:val="{4456B66A-480B-4231-A22F-1654CA88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812E22"/>
    <w:pPr>
      <w:spacing w:after="0" w:line="240" w:lineRule="auto"/>
    </w:pPr>
    <w:rPr>
      <w:rFonts w:eastAsiaTheme="minorEastAsia"/>
      <w:kern w:val="0"/>
      <w:lang w:val="es-MX" w:eastAsia="es-MX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2E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E22"/>
    <w:rPr>
      <w:rFonts w:ascii="Times New Roman" w:eastAsia="Times New Roman" w:hAnsi="Times New Roman" w:cs="Times New Roman"/>
      <w:kern w:val="0"/>
      <w:sz w:val="24"/>
      <w:szCs w:val="24"/>
      <w:lang w:val="es-MX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12E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E22"/>
    <w:rPr>
      <w:rFonts w:ascii="Times New Roman" w:eastAsia="Times New Roman" w:hAnsi="Times New Roman" w:cs="Times New Roman"/>
      <w:kern w:val="0"/>
      <w:sz w:val="24"/>
      <w:szCs w:val="24"/>
      <w:lang w:val="es-MX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E Innovación Tecnológica</dc:creator>
  <cp:keywords/>
  <dc:description/>
  <cp:lastModifiedBy>Dirección E Innovación Tecnológica</cp:lastModifiedBy>
  <cp:revision>1</cp:revision>
  <dcterms:created xsi:type="dcterms:W3CDTF">2023-06-07T16:39:00Z</dcterms:created>
  <dcterms:modified xsi:type="dcterms:W3CDTF">2023-06-07T17:00:00Z</dcterms:modified>
</cp:coreProperties>
</file>